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drawings/drawing1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6930" w:rsidRDefault="007A6B4C">
      <w:pPr>
        <w:rPr>
          <w:rFonts w:ascii="Californian FB" w:hAnsi="Californian FB"/>
          <w:sz w:val="40"/>
          <w:szCs w:val="40"/>
        </w:rPr>
      </w:pPr>
      <w:r>
        <w:rPr>
          <w:rFonts w:ascii="Californian FB" w:hAnsi="Californian FB"/>
          <w:sz w:val="40"/>
          <w:szCs w:val="40"/>
        </w:rPr>
        <w:t>Hesperia</w:t>
      </w:r>
    </w:p>
    <w:p w:rsidR="007A6B4C" w:rsidRDefault="007A6B4C">
      <w:pPr>
        <w:rPr>
          <w:rFonts w:ascii="Californian FB" w:hAnsi="Californian FB"/>
          <w:sz w:val="40"/>
          <w:szCs w:val="40"/>
        </w:rPr>
      </w:pPr>
      <w:r>
        <w:rPr>
          <w:rFonts w:ascii="Californian FB" w:hAnsi="Californian FB"/>
          <w:sz w:val="40"/>
          <w:szCs w:val="40"/>
        </w:rPr>
        <w:t>2017 Total Sales</w:t>
      </w:r>
    </w:p>
    <w:p w:rsidR="007A6B4C" w:rsidRPr="007A6B4C" w:rsidRDefault="007A6B4C">
      <w:pPr>
        <w:rPr>
          <w:rFonts w:ascii="Californian FB" w:hAnsi="Californian FB"/>
          <w:sz w:val="40"/>
          <w:szCs w:val="40"/>
        </w:rPr>
      </w:pPr>
      <w:bookmarkStart w:id="0" w:name="_GoBack"/>
      <w:r w:rsidRPr="00666C2E">
        <w:rPr>
          <w:caps/>
          <w:noProof/>
        </w:rPr>
        <w:drawing>
          <wp:inline distT="0" distB="0" distL="0" distR="0" wp14:anchorId="6E607811" wp14:editId="2949CA20">
            <wp:extent cx="9258300" cy="6248400"/>
            <wp:effectExtent l="0" t="0" r="0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  <w:bookmarkEnd w:id="0"/>
    </w:p>
    <w:sectPr w:rsidR="007A6B4C" w:rsidRPr="007A6B4C" w:rsidSect="007A6B4C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6B4C"/>
    <w:rsid w:val="00206930"/>
    <w:rsid w:val="00666C2E"/>
    <w:rsid w:val="007A6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418BCD6-AC77-4FE6-BFC8-8D42B2BBF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../embeddings/oleObject1.bin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chartUserShapes" Target="../drawings/drawing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1,317 Homes</a:t>
            </a:r>
            <a:r>
              <a:rPr lang="en-US" baseline="0"/>
              <a:t> Sold</a:t>
            </a:r>
            <a:endParaRPr lang="en-US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bar"/>
        <c:grouping val="stacked"/>
        <c:varyColors val="0"/>
        <c:ser>
          <c:idx val="0"/>
          <c:order val="0"/>
          <c:tx>
            <c:strRef>
              <c:f>[Template.xlsx]Sheet1!$B$1</c:f>
              <c:strCache>
                <c:ptCount val="1"/>
                <c:pt idx="0">
                  <c:v>Totals</c:v>
                </c:pt>
              </c:strCache>
            </c:strRef>
          </c:tx>
          <c:spPr>
            <a:solidFill>
              <a:srgbClr val="FFFF00"/>
            </a:soli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[Template.xlsx]Sheet1!$A$2:$A$15</c:f>
              <c:strCache>
                <c:ptCount val="14"/>
                <c:pt idx="0">
                  <c:v>&gt;$100,000 to &lt;$125,000</c:v>
                </c:pt>
                <c:pt idx="1">
                  <c:v>&gt;$125,000 to &lt;$150,000</c:v>
                </c:pt>
                <c:pt idx="2">
                  <c:v>&gt;$150,000 to &lt;$175,000</c:v>
                </c:pt>
                <c:pt idx="3">
                  <c:v>&gt;$175,000 to &lt;$200,000</c:v>
                </c:pt>
                <c:pt idx="4">
                  <c:v>&gt;$200,000 to &lt;$225,000</c:v>
                </c:pt>
                <c:pt idx="5">
                  <c:v>&gt;$225,000 to &lt;$250,000</c:v>
                </c:pt>
                <c:pt idx="6">
                  <c:v>&gt;$250,000 to &lt;$275,000</c:v>
                </c:pt>
                <c:pt idx="7">
                  <c:v>&gt;$275,000 to &lt;$300,000</c:v>
                </c:pt>
                <c:pt idx="8">
                  <c:v>&gt;$300,000 to &lt;$325,000</c:v>
                </c:pt>
                <c:pt idx="9">
                  <c:v>&gt;$325,000 to &lt;$350,000</c:v>
                </c:pt>
                <c:pt idx="10">
                  <c:v>&gt;$350,000 to &lt;$400,000</c:v>
                </c:pt>
                <c:pt idx="11">
                  <c:v>&gt;$400,000 to &lt;$450,000</c:v>
                </c:pt>
                <c:pt idx="12">
                  <c:v>&gt;$450,000 to &lt;$500,000</c:v>
                </c:pt>
                <c:pt idx="13">
                  <c:v>&gt;$500,000 and up</c:v>
                </c:pt>
              </c:strCache>
            </c:strRef>
          </c:cat>
          <c:val>
            <c:numRef>
              <c:f>[Template.xlsx]Sheet1!$B$2:$B$15</c:f>
              <c:numCache>
                <c:formatCode>General</c:formatCode>
                <c:ptCount val="14"/>
                <c:pt idx="0">
                  <c:v>29</c:v>
                </c:pt>
                <c:pt idx="1">
                  <c:v>53</c:v>
                </c:pt>
                <c:pt idx="2">
                  <c:v>77</c:v>
                </c:pt>
                <c:pt idx="3">
                  <c:v>158</c:v>
                </c:pt>
                <c:pt idx="4">
                  <c:v>237</c:v>
                </c:pt>
                <c:pt idx="5">
                  <c:v>255</c:v>
                </c:pt>
                <c:pt idx="6">
                  <c:v>206</c:v>
                </c:pt>
                <c:pt idx="7">
                  <c:v>146</c:v>
                </c:pt>
                <c:pt idx="8">
                  <c:v>71</c:v>
                </c:pt>
                <c:pt idx="9">
                  <c:v>31</c:v>
                </c:pt>
                <c:pt idx="10">
                  <c:v>33</c:v>
                </c:pt>
                <c:pt idx="11">
                  <c:v>16</c:v>
                </c:pt>
                <c:pt idx="12">
                  <c:v>2</c:v>
                </c:pt>
                <c:pt idx="13">
                  <c:v>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459532680"/>
        <c:axId val="459533856"/>
        <c:axId val="0"/>
      </c:bar3DChart>
      <c:catAx>
        <c:axId val="459532680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9533856"/>
        <c:crosses val="autoZero"/>
        <c:auto val="1"/>
        <c:lblAlgn val="ctr"/>
        <c:lblOffset val="100"/>
        <c:noMultiLvlLbl val="0"/>
      </c:catAx>
      <c:valAx>
        <c:axId val="459533856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extTo"/>
        <c:crossAx val="4595326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  <c:userShapes r:id="rId4"/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0.15638</cdr:x>
      <cdr:y>0.1311</cdr:y>
    </cdr:from>
    <cdr:to>
      <cdr:x>0.49074</cdr:x>
      <cdr:y>0.20427</cdr:y>
    </cdr:to>
    <cdr:sp macro="" textlink="">
      <cdr:nvSpPr>
        <cdr:cNvPr id="2" name="Text Box 1"/>
        <cdr:cNvSpPr txBox="1"/>
      </cdr:nvSpPr>
      <cdr:spPr>
        <a:xfrm xmlns:a="http://schemas.openxmlformats.org/drawingml/2006/main">
          <a:off x="1447800" y="819150"/>
          <a:ext cx="3095625" cy="4572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 SqFt </a:t>
          </a:r>
          <a:r>
            <a:rPr lang="en-US" sz="1100" b="1"/>
            <a:t>3,892</a:t>
          </a:r>
          <a:r>
            <a:rPr lang="en-US" sz="1100"/>
            <a:t> - Average Year Built </a:t>
          </a:r>
          <a:r>
            <a:rPr lang="en-US" sz="1100" b="1"/>
            <a:t>1998</a:t>
          </a:r>
        </a:p>
      </cdr:txBody>
    </cdr:sp>
  </cdr:relSizeAnchor>
  <cdr:relSizeAnchor xmlns:cdr="http://schemas.openxmlformats.org/drawingml/2006/chartDrawing">
    <cdr:from>
      <cdr:x>0.15844</cdr:x>
      <cdr:y>0.1936</cdr:y>
    </cdr:from>
    <cdr:to>
      <cdr:x>0.48868</cdr:x>
      <cdr:y>0.27591</cdr:y>
    </cdr:to>
    <cdr:sp macro="" textlink="">
      <cdr:nvSpPr>
        <cdr:cNvPr id="3" name="Text Box 2"/>
        <cdr:cNvSpPr txBox="1"/>
      </cdr:nvSpPr>
      <cdr:spPr>
        <a:xfrm xmlns:a="http://schemas.openxmlformats.org/drawingml/2006/main">
          <a:off x="1466850" y="1209675"/>
          <a:ext cx="3057525" cy="5143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 SqFt </a:t>
          </a:r>
          <a:r>
            <a:rPr lang="en-US" sz="1100" b="1"/>
            <a:t>3,409</a:t>
          </a:r>
          <a:r>
            <a:rPr lang="en-US" sz="1100"/>
            <a:t> - Average Year Built </a:t>
          </a:r>
          <a:r>
            <a:rPr lang="en-US" sz="1100" b="1"/>
            <a:t>1990</a:t>
          </a:r>
        </a:p>
      </cdr:txBody>
    </cdr:sp>
  </cdr:relSizeAnchor>
  <cdr:relSizeAnchor xmlns:cdr="http://schemas.openxmlformats.org/drawingml/2006/chartDrawing">
    <cdr:from>
      <cdr:x>0.15638</cdr:x>
      <cdr:y>0.2561</cdr:y>
    </cdr:from>
    <cdr:to>
      <cdr:x>0.51235</cdr:x>
      <cdr:y>0.33384</cdr:y>
    </cdr:to>
    <cdr:sp macro="" textlink="">
      <cdr:nvSpPr>
        <cdr:cNvPr id="4" name="Text Box 3"/>
        <cdr:cNvSpPr txBox="1"/>
      </cdr:nvSpPr>
      <cdr:spPr>
        <a:xfrm xmlns:a="http://schemas.openxmlformats.org/drawingml/2006/main">
          <a:off x="1447800" y="1600200"/>
          <a:ext cx="3295650" cy="4857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 SqFt </a:t>
          </a:r>
          <a:r>
            <a:rPr lang="en-US" sz="1100" b="1"/>
            <a:t>3,218</a:t>
          </a:r>
          <a:r>
            <a:rPr lang="en-US" sz="1100"/>
            <a:t> - Average Year Built</a:t>
          </a:r>
          <a:r>
            <a:rPr lang="en-US" sz="1100" baseline="0"/>
            <a:t> </a:t>
          </a:r>
          <a:r>
            <a:rPr lang="en-US" sz="1100" b="1" baseline="0"/>
            <a:t>1995</a:t>
          </a:r>
          <a:endParaRPr lang="en-US" sz="1100" b="1"/>
        </a:p>
      </cdr:txBody>
    </cdr:sp>
  </cdr:relSizeAnchor>
  <cdr:relSizeAnchor xmlns:cdr="http://schemas.openxmlformats.org/drawingml/2006/chartDrawing">
    <cdr:from>
      <cdr:x>0.15844</cdr:x>
      <cdr:y>0.31555</cdr:y>
    </cdr:from>
    <cdr:to>
      <cdr:x>0.49691</cdr:x>
      <cdr:y>0.39634</cdr:y>
    </cdr:to>
    <cdr:sp macro="" textlink="">
      <cdr:nvSpPr>
        <cdr:cNvPr id="5" name="Text Box 4"/>
        <cdr:cNvSpPr txBox="1"/>
      </cdr:nvSpPr>
      <cdr:spPr>
        <a:xfrm xmlns:a="http://schemas.openxmlformats.org/drawingml/2006/main">
          <a:off x="1466850" y="1971675"/>
          <a:ext cx="313372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 SqFt </a:t>
          </a:r>
          <a:r>
            <a:rPr lang="en-US" sz="1100" b="1"/>
            <a:t>2,883</a:t>
          </a:r>
          <a:r>
            <a:rPr lang="en-US" sz="1100"/>
            <a:t> Average Year Built </a:t>
          </a:r>
          <a:r>
            <a:rPr lang="en-US" sz="1100" b="1"/>
            <a:t>1995</a:t>
          </a:r>
        </a:p>
      </cdr:txBody>
    </cdr:sp>
  </cdr:relSizeAnchor>
  <cdr:relSizeAnchor xmlns:cdr="http://schemas.openxmlformats.org/drawingml/2006/chartDrawing">
    <cdr:from>
      <cdr:x>0.16049</cdr:x>
      <cdr:y>0.38262</cdr:y>
    </cdr:from>
    <cdr:to>
      <cdr:x>0.4928</cdr:x>
      <cdr:y>0.46037</cdr:y>
    </cdr:to>
    <cdr:sp macro="" textlink="">
      <cdr:nvSpPr>
        <cdr:cNvPr id="6" name="Text Box 5"/>
        <cdr:cNvSpPr txBox="1"/>
      </cdr:nvSpPr>
      <cdr:spPr>
        <a:xfrm xmlns:a="http://schemas.openxmlformats.org/drawingml/2006/main">
          <a:off x="1485900" y="2390775"/>
          <a:ext cx="3076575" cy="4857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 SqFt</a:t>
          </a:r>
          <a:r>
            <a:rPr lang="en-US" sz="1100" baseline="0"/>
            <a:t> </a:t>
          </a:r>
          <a:r>
            <a:rPr lang="en-US" sz="1100" b="1" baseline="0"/>
            <a:t>2,488</a:t>
          </a:r>
          <a:r>
            <a:rPr lang="en-US" sz="1100" baseline="0"/>
            <a:t> - Average Year Built </a:t>
          </a:r>
          <a:r>
            <a:rPr lang="en-US" sz="1100" b="1" baseline="0"/>
            <a:t>1999</a:t>
          </a:r>
          <a:endParaRPr lang="en-US" sz="1100" b="1"/>
        </a:p>
      </cdr:txBody>
    </cdr:sp>
  </cdr:relSizeAnchor>
  <cdr:relSizeAnchor xmlns:cdr="http://schemas.openxmlformats.org/drawingml/2006/chartDrawing">
    <cdr:from>
      <cdr:x>0.15947</cdr:x>
      <cdr:y>0.44207</cdr:y>
    </cdr:from>
    <cdr:to>
      <cdr:x>0.50617</cdr:x>
      <cdr:y>0.52591</cdr:y>
    </cdr:to>
    <cdr:sp macro="" textlink="">
      <cdr:nvSpPr>
        <cdr:cNvPr id="7" name="Text Box 6"/>
        <cdr:cNvSpPr txBox="1"/>
      </cdr:nvSpPr>
      <cdr:spPr>
        <a:xfrm xmlns:a="http://schemas.openxmlformats.org/drawingml/2006/main">
          <a:off x="1476375" y="2762250"/>
          <a:ext cx="3209925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 SqFt </a:t>
          </a:r>
          <a:r>
            <a:rPr lang="en-US" sz="1100" b="1"/>
            <a:t>2,362</a:t>
          </a:r>
          <a:r>
            <a:rPr lang="en-US" sz="1100" baseline="0"/>
            <a:t> - Average Year Built </a:t>
          </a:r>
          <a:r>
            <a:rPr lang="en-US" sz="1100" b="1" baseline="0"/>
            <a:t>1994</a:t>
          </a:r>
          <a:endParaRPr lang="en-US" sz="1100" b="1"/>
        </a:p>
      </cdr:txBody>
    </cdr:sp>
  </cdr:relSizeAnchor>
  <cdr:relSizeAnchor xmlns:cdr="http://schemas.openxmlformats.org/drawingml/2006/chartDrawing">
    <cdr:from>
      <cdr:x>0.15947</cdr:x>
      <cdr:y>0.50762</cdr:y>
    </cdr:from>
    <cdr:to>
      <cdr:x>0.52675</cdr:x>
      <cdr:y>0.58232</cdr:y>
    </cdr:to>
    <cdr:sp macro="" textlink="">
      <cdr:nvSpPr>
        <cdr:cNvPr id="8" name="Text Box 7"/>
        <cdr:cNvSpPr txBox="1"/>
      </cdr:nvSpPr>
      <cdr:spPr>
        <a:xfrm xmlns:a="http://schemas.openxmlformats.org/drawingml/2006/main">
          <a:off x="1476375" y="3171825"/>
          <a:ext cx="3400425" cy="4667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 SqFt</a:t>
          </a:r>
          <a:r>
            <a:rPr lang="en-US" sz="1100" baseline="0"/>
            <a:t> </a:t>
          </a:r>
          <a:r>
            <a:rPr lang="en-US" sz="1100" b="1" baseline="0"/>
            <a:t>2,288</a:t>
          </a:r>
          <a:r>
            <a:rPr lang="en-US" sz="1100" baseline="0"/>
            <a:t> - Average Year Built </a:t>
          </a:r>
          <a:r>
            <a:rPr lang="en-US" sz="1100" b="1" baseline="0"/>
            <a:t>1997</a:t>
          </a:r>
          <a:endParaRPr lang="en-US" sz="1100" b="1"/>
        </a:p>
      </cdr:txBody>
    </cdr:sp>
  </cdr:relSizeAnchor>
  <cdr:relSizeAnchor xmlns:cdr="http://schemas.openxmlformats.org/drawingml/2006/chartDrawing">
    <cdr:from>
      <cdr:x>0.15947</cdr:x>
      <cdr:y>0.56707</cdr:y>
    </cdr:from>
    <cdr:to>
      <cdr:x>0.48663</cdr:x>
      <cdr:y>0.64482</cdr:y>
    </cdr:to>
    <cdr:sp macro="" textlink="">
      <cdr:nvSpPr>
        <cdr:cNvPr id="9" name="Text Box 8"/>
        <cdr:cNvSpPr txBox="1"/>
      </cdr:nvSpPr>
      <cdr:spPr>
        <a:xfrm xmlns:a="http://schemas.openxmlformats.org/drawingml/2006/main">
          <a:off x="1476375" y="3543300"/>
          <a:ext cx="3028950" cy="4857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 SqFt</a:t>
          </a:r>
          <a:r>
            <a:rPr lang="en-US" sz="1100" baseline="0"/>
            <a:t> </a:t>
          </a:r>
          <a:r>
            <a:rPr lang="en-US" sz="1100" b="1" baseline="0"/>
            <a:t>1,985</a:t>
          </a:r>
          <a:r>
            <a:rPr lang="en-US" sz="1100" baseline="0"/>
            <a:t> - Average Year Built </a:t>
          </a:r>
          <a:r>
            <a:rPr lang="en-US" sz="1100" b="1" baseline="0"/>
            <a:t>1992</a:t>
          </a:r>
          <a:endParaRPr lang="en-US" sz="1100" b="1"/>
        </a:p>
      </cdr:txBody>
    </cdr:sp>
  </cdr:relSizeAnchor>
  <cdr:relSizeAnchor xmlns:cdr="http://schemas.openxmlformats.org/drawingml/2006/chartDrawing">
    <cdr:from>
      <cdr:x>0.15947</cdr:x>
      <cdr:y>0.6311</cdr:y>
    </cdr:from>
    <cdr:to>
      <cdr:x>0.48457</cdr:x>
      <cdr:y>0.70732</cdr:y>
    </cdr:to>
    <cdr:sp macro="" textlink="">
      <cdr:nvSpPr>
        <cdr:cNvPr id="10" name="Text Box 9"/>
        <cdr:cNvSpPr txBox="1"/>
      </cdr:nvSpPr>
      <cdr:spPr>
        <a:xfrm xmlns:a="http://schemas.openxmlformats.org/drawingml/2006/main">
          <a:off x="1476375" y="3943350"/>
          <a:ext cx="3009900" cy="476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 SqFt </a:t>
          </a:r>
          <a:r>
            <a:rPr lang="en-US" sz="1100" b="1"/>
            <a:t>1,684</a:t>
          </a:r>
          <a:r>
            <a:rPr lang="en-US" sz="1100"/>
            <a:t> - Average Year Built </a:t>
          </a:r>
          <a:r>
            <a:rPr lang="en-US" sz="1100" b="1"/>
            <a:t>1989</a:t>
          </a:r>
        </a:p>
      </cdr:txBody>
    </cdr:sp>
  </cdr:relSizeAnchor>
  <cdr:relSizeAnchor xmlns:cdr="http://schemas.openxmlformats.org/drawingml/2006/chartDrawing">
    <cdr:from>
      <cdr:x>0.15947</cdr:x>
      <cdr:y>0.69207</cdr:y>
    </cdr:from>
    <cdr:to>
      <cdr:x>0.53395</cdr:x>
      <cdr:y>0.77744</cdr:y>
    </cdr:to>
    <cdr:sp macro="" textlink="">
      <cdr:nvSpPr>
        <cdr:cNvPr id="11" name="Text Box 10"/>
        <cdr:cNvSpPr txBox="1"/>
      </cdr:nvSpPr>
      <cdr:spPr>
        <a:xfrm xmlns:a="http://schemas.openxmlformats.org/drawingml/2006/main">
          <a:off x="1476375" y="4324350"/>
          <a:ext cx="3467100" cy="533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 SqFt</a:t>
          </a:r>
          <a:r>
            <a:rPr lang="en-US" sz="1100" baseline="0"/>
            <a:t> </a:t>
          </a:r>
          <a:r>
            <a:rPr lang="en-US" sz="1100" b="1" baseline="0"/>
            <a:t>1,472</a:t>
          </a:r>
          <a:r>
            <a:rPr lang="en-US" sz="1100" baseline="0"/>
            <a:t> - Average Year Built </a:t>
          </a:r>
          <a:r>
            <a:rPr lang="en-US" sz="1100" b="1" baseline="0"/>
            <a:t>1982</a:t>
          </a:r>
          <a:endParaRPr lang="en-US" sz="1100" b="1"/>
        </a:p>
      </cdr:txBody>
    </cdr:sp>
  </cdr:relSizeAnchor>
  <cdr:relSizeAnchor xmlns:cdr="http://schemas.openxmlformats.org/drawingml/2006/chartDrawing">
    <cdr:from>
      <cdr:x>0.16152</cdr:x>
      <cdr:y>0.75457</cdr:y>
    </cdr:from>
    <cdr:to>
      <cdr:x>0.5144</cdr:x>
      <cdr:y>0.83232</cdr:y>
    </cdr:to>
    <cdr:sp macro="" textlink="">
      <cdr:nvSpPr>
        <cdr:cNvPr id="12" name="Text Box 11"/>
        <cdr:cNvSpPr txBox="1"/>
      </cdr:nvSpPr>
      <cdr:spPr>
        <a:xfrm xmlns:a="http://schemas.openxmlformats.org/drawingml/2006/main">
          <a:off x="1495425" y="4714875"/>
          <a:ext cx="3267075" cy="4857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</a:t>
          </a:r>
          <a:r>
            <a:rPr lang="en-US" sz="1100" baseline="0"/>
            <a:t> SqFt </a:t>
          </a:r>
          <a:r>
            <a:rPr lang="en-US" sz="1100" b="1" baseline="0"/>
            <a:t>1,395</a:t>
          </a:r>
          <a:r>
            <a:rPr lang="en-US" sz="1100" baseline="0"/>
            <a:t> - Average Year Built </a:t>
          </a:r>
          <a:r>
            <a:rPr lang="en-US" sz="1100" b="1" baseline="0"/>
            <a:t>1980</a:t>
          </a:r>
          <a:endParaRPr lang="en-US" sz="1100" b="1"/>
        </a:p>
      </cdr:txBody>
    </cdr:sp>
  </cdr:relSizeAnchor>
  <cdr:relSizeAnchor xmlns:cdr="http://schemas.openxmlformats.org/drawingml/2006/chartDrawing">
    <cdr:from>
      <cdr:x>0.15947</cdr:x>
      <cdr:y>0.81707</cdr:y>
    </cdr:from>
    <cdr:to>
      <cdr:x>0.5216</cdr:x>
      <cdr:y>0.89482</cdr:y>
    </cdr:to>
    <cdr:sp macro="" textlink="">
      <cdr:nvSpPr>
        <cdr:cNvPr id="13" name="Text Box 12"/>
        <cdr:cNvSpPr txBox="1"/>
      </cdr:nvSpPr>
      <cdr:spPr>
        <a:xfrm xmlns:a="http://schemas.openxmlformats.org/drawingml/2006/main">
          <a:off x="1476375" y="5105400"/>
          <a:ext cx="3352800" cy="4857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 SqFt </a:t>
          </a:r>
          <a:r>
            <a:rPr lang="en-US" sz="1100" b="1"/>
            <a:t>1,206</a:t>
          </a:r>
          <a:r>
            <a:rPr lang="en-US" sz="1100"/>
            <a:t> - Average Year Built </a:t>
          </a:r>
          <a:r>
            <a:rPr lang="en-US" sz="1100" b="1"/>
            <a:t>1977</a:t>
          </a:r>
        </a:p>
      </cdr:txBody>
    </cdr:sp>
  </cdr:relSizeAnchor>
  <cdr:relSizeAnchor xmlns:cdr="http://schemas.openxmlformats.org/drawingml/2006/chartDrawing">
    <cdr:from>
      <cdr:x>0.16152</cdr:x>
      <cdr:y>0.87805</cdr:y>
    </cdr:from>
    <cdr:to>
      <cdr:x>0.50103</cdr:x>
      <cdr:y>0.95884</cdr:y>
    </cdr:to>
    <cdr:sp macro="" textlink="">
      <cdr:nvSpPr>
        <cdr:cNvPr id="14" name="Text Box 13"/>
        <cdr:cNvSpPr txBox="1"/>
      </cdr:nvSpPr>
      <cdr:spPr>
        <a:xfrm xmlns:a="http://schemas.openxmlformats.org/drawingml/2006/main">
          <a:off x="1495425" y="5486400"/>
          <a:ext cx="3143250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 SqFt </a:t>
          </a:r>
          <a:r>
            <a:rPr lang="en-US" sz="1100" b="1"/>
            <a:t>1,165</a:t>
          </a:r>
          <a:r>
            <a:rPr lang="en-US" sz="1100"/>
            <a:t> - Average Year Built </a:t>
          </a:r>
          <a:r>
            <a:rPr lang="en-US" sz="1100" b="1"/>
            <a:t>1971</a:t>
          </a:r>
        </a:p>
      </cdr:txBody>
    </cdr:sp>
  </cdr:relSizeAnchor>
  <cdr:relSizeAnchor xmlns:cdr="http://schemas.openxmlformats.org/drawingml/2006/chartDrawing">
    <cdr:from>
      <cdr:x>0.15947</cdr:x>
      <cdr:y>0.9436</cdr:y>
    </cdr:from>
    <cdr:to>
      <cdr:x>0.49383</cdr:x>
      <cdr:y>0.9878</cdr:y>
    </cdr:to>
    <cdr:sp macro="" textlink="">
      <cdr:nvSpPr>
        <cdr:cNvPr id="15" name="Text Box 14"/>
        <cdr:cNvSpPr txBox="1"/>
      </cdr:nvSpPr>
      <cdr:spPr>
        <a:xfrm xmlns:a="http://schemas.openxmlformats.org/drawingml/2006/main">
          <a:off x="1476375" y="5895975"/>
          <a:ext cx="3095625" cy="276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100"/>
            <a:t>Average SqFt </a:t>
          </a:r>
          <a:r>
            <a:rPr lang="en-US" sz="1100" b="1"/>
            <a:t>1,106</a:t>
          </a:r>
          <a:r>
            <a:rPr lang="en-US" sz="1100"/>
            <a:t> -</a:t>
          </a:r>
          <a:r>
            <a:rPr lang="en-US" sz="1100" baseline="0"/>
            <a:t> Average Year Built </a:t>
          </a:r>
          <a:r>
            <a:rPr lang="en-US" sz="1100" b="1" baseline="0"/>
            <a:t>1969</a:t>
          </a:r>
          <a:endParaRPr lang="en-US" sz="1100" b="1"/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Fidelity National Financial</Company>
  <LinksUpToDate>false</LinksUpToDate>
  <CharactersWithSpaces>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Walker, Jason</dc:creator>
  <cp:keywords/>
  <dc:description/>
  <cp:lastModifiedBy>Walker, Jason</cp:lastModifiedBy>
  <cp:revision>1</cp:revision>
  <dcterms:created xsi:type="dcterms:W3CDTF">2018-01-24T20:09:00Z</dcterms:created>
  <dcterms:modified xsi:type="dcterms:W3CDTF">2018-01-24T20:21:00Z</dcterms:modified>
</cp:coreProperties>
</file>